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28D" w:rsidRPr="00BD628D" w:rsidRDefault="00BD628D" w:rsidP="00BD62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Комментарии к данным:</w:t>
      </w:r>
    </w:p>
    <w:p w:rsidR="00BD628D" w:rsidRDefault="00A8650A" w:rsidP="00BD62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D628D">
        <w:rPr>
          <w:rFonts w:ascii="Times New Roman" w:hAnsi="Times New Roman" w:cs="Times New Roman"/>
          <w:sz w:val="24"/>
          <w:szCs w:val="24"/>
        </w:rPr>
        <w:t xml:space="preserve">В связи с вступлением в силу Указания Банка России от 14.11.2022 № 6315-У «О формах, сроках и порядке составления и представления в Банк России отчетности страховщиков» изменилась методология формирования показателей отчетности по форме 0420162 «Сведения о деятельности страховщика» (далее – отчетность по форме 0420162). В частности, начиная с данных за </w:t>
      </w:r>
      <w:r w:rsidR="00ED346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D628D">
        <w:rPr>
          <w:rFonts w:ascii="Times New Roman" w:hAnsi="Times New Roman" w:cs="Times New Roman"/>
          <w:sz w:val="24"/>
          <w:szCs w:val="24"/>
        </w:rPr>
        <w:t xml:space="preserve"> квартал 2023 года в отчетности по форме 0420162 отражается сумма страховых премий по договорам страхования, уплата которых приходится на отчетный период</w:t>
      </w:r>
      <w:r w:rsidR="00ED3469">
        <w:rPr>
          <w:rFonts w:ascii="Times New Roman" w:hAnsi="Times New Roman" w:cs="Times New Roman"/>
          <w:sz w:val="24"/>
          <w:szCs w:val="24"/>
        </w:rPr>
        <w:t xml:space="preserve"> в соответствии с условиям </w:t>
      </w:r>
      <w:r w:rsidRPr="00BD628D">
        <w:rPr>
          <w:rFonts w:ascii="Times New Roman" w:hAnsi="Times New Roman" w:cs="Times New Roman"/>
          <w:sz w:val="24"/>
          <w:szCs w:val="24"/>
        </w:rPr>
        <w:t xml:space="preserve">договоров страхования. В связи с данными изменениями в отдельных случаях сумма страховых премий, начиная с данных за </w:t>
      </w:r>
      <w:r w:rsidR="00ED346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D628D">
        <w:rPr>
          <w:rFonts w:ascii="Times New Roman" w:hAnsi="Times New Roman" w:cs="Times New Roman"/>
          <w:sz w:val="24"/>
          <w:szCs w:val="24"/>
        </w:rPr>
        <w:t xml:space="preserve"> квартал 2023 года, может быть не в полной мере сопоставима с показателями за сравнительные периоды предыдущего года.</w:t>
      </w:r>
    </w:p>
    <w:p w:rsidR="00AB0E81" w:rsidRPr="00BD628D" w:rsidRDefault="00AB0E81" w:rsidP="00BD628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D628D">
        <w:rPr>
          <w:rFonts w:ascii="Times New Roman" w:hAnsi="Times New Roman" w:cs="Times New Roman"/>
          <w:sz w:val="24"/>
          <w:szCs w:val="24"/>
        </w:rPr>
        <w:t>Без учета статистической информации по Донецкой Народной Республике (ДНР), Луганской Народной Республике (ЛНР), Запорожской и Херсонской областям</w:t>
      </w:r>
      <w:r w:rsidR="00E565C0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AB0E81" w:rsidRPr="00BD628D" w:rsidRDefault="00AB0E81" w:rsidP="00A865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1BA8" w:rsidRDefault="00E565C0"/>
    <w:sectPr w:rsidR="00EA1BA8" w:rsidSect="00BD628D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57D06"/>
    <w:multiLevelType w:val="hybridMultilevel"/>
    <w:tmpl w:val="653A0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50A"/>
    <w:rsid w:val="001E4C35"/>
    <w:rsid w:val="00A8650A"/>
    <w:rsid w:val="00AB0E81"/>
    <w:rsid w:val="00BD628D"/>
    <w:rsid w:val="00E565C0"/>
    <w:rsid w:val="00E747FA"/>
    <w:rsid w:val="00ED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BEA4A-8E5E-4018-A9AD-FBF8D48B1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50A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5184F-8FE8-4B77-9102-36596494E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Басаргина Юлия Александровна</dc:creator>
  <cp:keywords/>
  <dc:description/>
  <cp:lastModifiedBy>Басаргина Юлия Александровна</cp:lastModifiedBy>
  <cp:revision>5</cp:revision>
  <dcterms:created xsi:type="dcterms:W3CDTF">2023-06-05T07:43:00Z</dcterms:created>
  <dcterms:modified xsi:type="dcterms:W3CDTF">2023-08-15T09:52:00Z</dcterms:modified>
</cp:coreProperties>
</file>